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29.08.2019 в удовлетворении иска отказано. Постановлением Первого арбитражного апелляционного суда от 22.11.2019, оставленным без изменения постановлением Арбитражного суда Волго-Вятского округа от 27.01.2020, решение отменено, иск удовлетворен. В кассационной жалобе предприятие просит о пересмотре постановлений апелляционного и окружного судов, ссылаясь на отсутствие полномочий у лица, подписавшего от имени предприятия документы, принятые в качестве прерывающих срок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дело, правомерно исходил из установленного наличия задолженности предприятия за товар и документов, в силу статьи 203 Гражданского кодекса Российской Федерации и ее судебного толкования прерывающих течение срока исковой давности.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«Государственное научно-производственное предприятие «Крона»в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