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31.07.2019, оставленным без изменения постановлением Второго арбитражного апелляционного суда от 25.10.2019 и постановлением Арбитражного суда Волго-Вятского округа от 07.02.2020, иск удовлетворен. В кассационной жалобе публичное акционерное общество «Славнефть-Ярославнефтеоргсинтез» просит отменить судебные акты, ссылаясь на незаконное уменьшение удержанного штрафа, размер которого согласован сторонами в договоре.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удовлетворяющие критериям для уменьшения неустойки, устанавливаются судами, рассматривающими дело по правилам для первой инстанции, и не переоцениваются на стадии кассационного производства.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«Славнефть-Ярославнефтеоргсинтез»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