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16.08.2019, оставленным без изменения постановлением Шестого арбитражного апелляционного суда от 25.10.2019, иск удовлетворен. Арбитражный суд Дальневосточного округа постановлением от 28.01.2020 решение от 16.08.2019 и постановление Шестого арбитражного апелляционного суда от 25.10.2019 оставил без изменения. В кассационной жалобе банк просит об отмене судебных актов, ссылаясь на несоблюдение законного условия к представлению требования по банковской гарантии.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к требованию о платеже по банковской гарантии от 28.09.2018 № 11Э-С-76294/18 приложены документы, соответствовавшие условиям гарантии, что в силу статей 375 и 376 Гражданского кодекса Российской Федерации не позволяло банку отказать в совершении платежа.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Банк поддержки малого и среднего предпринимательства»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