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10.06.2019, оставленным без изменения постановлением Шестнадцатого арбитражного апелляционного суда от 09.09.2019, исковые требования удовлетворены в части взыскания 2 484 803 рублей убытков, 679 871 рубля 49 копеек пеней, пеней с 05.06.2019 по день фактического исполнения обязательства исходя из размера двукратной ключевой ставки Банка России, действующей в соответствующие периоды. Арбитражный суд Северо-Кавказского округа постановлением от 26.12.2019 отменил решение от 10.06.2019 и постановление Шестнадцатого арбитражного апелляционного суда от 09.09.2019 вследствие неисследования необходимых для правильного разрешения дела обстоятельств и направил дело на новое рассмотрение в Арбитражный суд Ставропольского края. 2 В кассационной жалобе предприниматель Золотарев А.И.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Отмена судебных актов нижестоящих инстанций в связи с неполным установлением обстоятельств, необходимых для правильного разрешения спора,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предпринимателю-главе крестьянского (фермерского) хозяйства Золотареву А.И.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