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19.06.2019 взыскано 120 975 рублей 53 копеек процентов за период с 08.03.2018 по 05.09.2018. Первый арбитражный апелляционный суд постановлением от 11.10.2019 принял отказ от иска в части взыскания неустойки за период с 08.03.2018 по 14.03.2018 в размере 4 796 рублей 99 копеек, в указанной части решение от 19.06.2019 отменил и производство по делу прекратил; в остальной части решение оставил без изменения. Арбитражный суд Волго-Вятского округа постановлением от 06.02.2020 постановление Первого арбитражного апелляционного суда от 11.10.2019 оставил без изменения. В кассационной жалобе общество «Лидер» просит об отмене судебных актов в части отказа в удовлетворении иска о взыскании убытков, ссылаясь на несоответствие их закону и обстоятельствам дела.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необходимые в силу статей 15, 393 Гражданского кодекса Российской Федерации условия для взыскания с общества убытков в заявленном размере, судами не установлены и не переоцениваются на стадии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«Лидер»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