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03.06.2019 исковые требования удовлетворены в части взыскания неустойки. Постановлением Пятого арбитражного апелляционного суда от 19.12.2019 в редакции определения от 29.01.2020 решение от 03.06.2019 изменено, иск в части взыскания процентов за пользование коммерческим кредитом удовлетворен в заявленном размере. Постановлением Арбитражного суда Дальневосточного округа от 10.03.2020 решение от 03.06.2019 и постановление апелляционного суда от 19.12.2019 изменены: с завода взыскано 184 093 600 рублей 66 копеек процентов за пользование коммерческим кредитом и 110 587 959 рублей 40 копеек неустойки. В кассационной жалобе ответчик просит о пересмотре постановлений апелляционного и окружного судов в части взыскания процентов за 2 пользование коммерческим кредитом, ссылаясь на противоречие их судебным актам по аналогичным делам и игнорирование характера правоотношений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обстоятельства спора, представленные доказательства, в том числе условия заключенного между истцом (заказчиком) и ответчиком (исполнителем) договора от 12.03.2014 № 116-14Р, и применив ним статьи 702, 711, 823 Гражданского кодекса Российской Федерации, суды признали доказанным нарушение ответчиком сроков выполнения работ и основанным на договоре притязание на проценты за пользование коммерческим кредитом. Иная оценка правовой природы процентов за пользование коммерческим кредитом и судебной практики их применения, изложенная в жалобе,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«Находкинский судоремонтный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