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28.05.2019, оставленным без изменения постановлением Семнадцатого арбитражного апелляционного суда от 18.09.2019 и постановлением Арбитражного суда Уральского округа от 13.01.2020, иск удовлетворен. В кассационной жалобе общество «Уралторгшахткомплект» просит о пересмотре судебных актов, ссылаясь на отсутствие оценки его доводов и нарушение в исследовании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представленных доказательств установили отцепку вагонов в связи с некачественным выполнением подрядчиком (ответчиком) планового ремонта вагонов в рамках договора от 29.05.2015 № 34/2015/РВ и удовлетворили иск в соответствии со статьями 702 , 711 , 720 , 723 , 724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«Уралторгшахткомплект»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СГ-ТРАНС (подробнее) Ответчики: ЗАО УРАЛГОРШАХТКОМПЛЕКТ (подробнее) Судьи дела: Ксенофонтова Н.А. (судья)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