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Ямало-Ненецкого автономного округа от 19.06.2019, оставленным без изменения постановлением Восьмого арбитражного апелляционного суда от 16.09.2019 и постановлением Арбитражного суда Западно-Сибирского округа от 16.01.2020, с общества взыскано 470 000 рублей убытков, 2 072 рубля 53 копейки судебных издержек; производство по делу в остальной части иска прекращено на основании пункта 2 части 1 статьи 150 Арбитражного процессуального кодекса Российской Федерации. В кассационной жалобе общество просит отменить судебные акты, ссылаясь на неправомерное взыскание дополнительных к заявленным в уголовном деле убытков и удовлетворение незаявленного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Взыскание расходов, состоящих в причинно-следственной связи с действиями по причинению вреда и не являвшихся предметом другого судебного спора, не противоречит статьям 15, 1064 Гражданского кодекса Российской Федерации. Довод в отношении судебных расходов рассмотрен окружным судом и не подлежит иной оценке.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«Ямалкоммунэнерго»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