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03.06.2019, оставленным без изменения постановлением Одиннадцатого арбитражного апелляционного суда от 26.09.2019 и постановлением Арбитражного суда Поволжского округа от 23.01.2020, исковые требования удовлетворены. В кассационной жалобе предприниматель просит об отмене судебных актов, ссылаясь на игнорирование прекращения обязательства новацией и неприменение аналогии закона к процентам по коммерческому кредиту.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поставкой товара по договору от 29.01.2018 № 3 предприниматель погасил часть своего долга перед обществом за полученный по договору от 01.03.2016 № 3 товар. Основания для констатации прекращения спорного обязательства по уплате процентов по коммерческому кредиту суды не установили. Законных оснований для уменьшения процентов по коммерческому кредиту заявитель не привел.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предпринимателю-главе крестьянского фермерского хозяйства Волынщикову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