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Кабиров Альберт Фатхрахманович обратился в суд с заявлением о включении в реестр требований кредиторов должника требования в размере 24 150 000 рублей. Определением Арбитражного суда Республики Татарстан от 18.09.2019, оставленным без изменения постановлениями Одиннадцатого арбитражного апелляционного суда от 22.11.2019 и Арбитражного суда Поволжского округа от 11.02.2020, требование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1064, 1083 Гражданского кодекса Российской Федерации, статей 71, 100, 213.24 Федерального закона от 26.10.2002 № 127-ФЗ «О несостоятельности (банкротстве)», исходили из того, что основанное на вступившем в законную силу приговоре суда общей юрисдикции требование подтверждено документально, заявлено в пределах установленного законом срока, в связи с чем признали его обоснованным и подлежащим учёту в составе третьей очереди реестра. Суды не установили оснований для уменьшения размера суммы ущерба ввиду отсутствия доказательств противоправности действий обратившегося с требованием лица, признанного потерпевшим, чей гражданский иск был удовлетворён в рамках рассмотрения уголовного дела с участием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«Лизинговая компания малого бизнеса Республики Татарстан»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