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11.11.2019, оставленным без изменения постановлением Девятого арбитражного апелляционного суда от 25.12.2019 и постановлением Арбитражного суда Московского округа от 11.03.2020, в удовлетворении заявления отказано, учитывая предшествовавшую подаче заявления выдачу исполнительного листа по соответствующему ходатайству заявителя. В кассационной жалобе общество «ГеронНефтеСервис» просит об отмене судебных актов, указывая, что вынесение определения должно было предшествовать выдаче исполнительного листа.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Необходимости вынесения определения в отрыве от выдачи исполнительного листа, состоявшейся ранее по ходатайству заявителя, и нарушения права непринятием такого определения заявитель не обосновал.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«ГеронНефтеСервис»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