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обществом с ограниченной ответственностью Коммерческий Банк «Эл Банк» государственная корпорация «Агентство по страхованию вкладов» (далее – банк) обратился в суд с заявлением о признании включённого в реестр требования в размере 6 748 755 рублей 15 копеек обеспеченным залогом имущества должника. Определением Арбитражного суда Республики Мордовия от 05.08.2019, оставленным без изменения постановлением Первого арбитражного апелляционного суда от 15.10.2019, в удовлетворении заявления о признании за банком статуса залогового кредитора отказано. Постановлением Арбитражного суда Волго-Вятского округа от 03.02.2020 вышеуказанные судебные акты частично отменены, включенное в реестр требование банка признано обеспеченным залогом имущества должника по договорам последующего залога товарно-материальных ценностей от 20.11.2015 № 4205/7 и № 4205/8. В остальной части принятые по спору определение суда первой инстанции и постановление апелляционного суда оставлены в силе.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принятые по делу судебные акты, суд округа, руководствуясь пунктом 1 статьи 334.1 , пунктом 1 статьи 358.1 Гражданского кодекса Российской Федерации, статьёй 138 Федерального закона от 26.10.2002 № 127-ФЗ «О несостоятельности (банкротстве)», пунктами 1, 3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 из наличия у должника заложенного имущества (вагонов) по двум договорам залога, а также отсутствия доказательств, подтверждающих переход права собственности на указанное заложенное имущество от должника к обществу.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«Дальневосточная Логистика»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"МОРДОВ-ТРАНС" (подробнее) Иные лица: АО "ВАГОННАЯ РЕМОНТНАЯ КОМПАНИЯ - 1" (подробнее) Арбитражный суд Самарской области (подробнее) Ассоциация Ведущих Арбитражных Управляющих "Достояние" (подробнее) в/у Цупрова Ксения Владимировна (подробнее) ОМВД по Рузаевскому муниципальному району РМ (подробнее) ООО "Бизнес-Проект" (подробнее) ООО "Вакум" к/у Савилова Е.В. (подробнее) ООО КБ "Эл Банк" (подробнее) ООО Страховая компания "Паритет-СК" (подробнее) Управление Федеральной службы государственной регистрации, кадастра и картографии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