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195 327 910 рублей 11 копеек, основанных на договорах займа и уступки права требования (цессии). Определением Арбитражного суда города Санкт-Петербурга и Ленинградской области от 13.06.2019, оставленным без изменения постановлениями Тринадцатого арбитражного апелляционного суда от 14.11.2019 и Арбитражного суда Северо-Западного округа от 17.02.2020,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168, 807 Гражданского кодекса Российской Федерации, статьями 19,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указали на использование заинтересованными лицами, не раскрывшими разумного обоснования и экономической целесообразности сложившихся между ними отношений, практики транзитного перечисления денежных средств, её направленности на создание искусственной кредиторской задолженности с целью получения контроля над процедурой банкротства, в связи с чем отказали в удовлетворении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«Центр управления «Система»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