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29.07.2019, оставленным без изменения постановлением Седьмого арбитражного апелляционного суда от 16.10.2019 и постановлением Арбитражного суда Западно-Сибирского округа от 17.02.2020, иск удовлетворен в части взыскания 311 848 рублей 34 копеек убытков. В кассационной жалобе общество просит о пересмотре указанных судебных актов, ссылаясь на отсутствие надлежащей оценки доказательств истца и игнорирование доводов ответчика.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Возражения общества против иска обсуждены судами первой и апелляционной инстанций, а аналогичным изложенным в рассматриваемой жалобе доводам дана оценка окружным судом.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ГАУЗ КО "Областной клинический госпиталь для ветеранов войн" (подробнее) Ответчики: ООО "Медсервис"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