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Яшечкина Л.А. обратилась в суд с заявлением о включении в реестр требований кредиторов должника 364 559 639 рублей основного долга и 84 079 958 рублей процентов. Определением Арбитражного суда города Москвы от 15.08.2019, оставленным без изменения постановлениями Девятого арбитражного апелляционного суда от 09.12.2019 и Арбитражного суда Московского округа от 25.02.2020, в удовлетворении требований отказано. В кассационной жалобе, поданной в Верховный Суд Российской Федерации, заявитель просит отменить указанные судебный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результатах судебной технической экспертизы в соответствии с правилами главы 7 Арбитражного процессуального кодекса Российской Федерации, руководствуясь статьями 71, 100, 213.8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указали на отсутствие доказательств, подтверждающих реальность заёмных правоотношений, наличия неисполненных обязательств должника перед аффилированным заявителем в условиях нераскрытия источников происхождения денежных средств, непредставления документов, прямо указывающих на совершение операций с ними (первичные бухгалтерские документы или банковские выписки) именно должником, в связи с чем не усмотрели оснований для удовлетворения требования.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Яшечкиной Людмиле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