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2 судьей Судебной коллегии Верховного Суда Российской Федерации,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обществом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«Гарант» удовлетворить. Срок подачи кассационной жалобы на решение Арбитражного суда города Санкт-Петербурга и Ленинградской области от 17.07.2019, постановление Тринадцатого арбитражного апелляционного суда от 28.10.2019 и постановление Арбитражного суда Северо-Западного округа от 06.03.2020 по делу № А56-13292/2019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