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«Спекторстрой» удовлетворить. Срок подачи кассационной жалобы на решение Арбитражного суда города Москвы от 13.06.2019, постановление Девятого арбитражного апелляционного суда от 20.09.2019 и постановление Арбитражного суда Московского округа от 11.02.2020 по делу № А40-4965/2019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