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ранее подало кассационную жалобу на судебные акты по делу № А32-10792/2019, исполнение решения по которому просит приостановить, ссылаясь на затруднение из-за имущественного положения взыскателя поворота исполнения решения в случае его отмены. Рассмотрев ходатайство, суд не усматривает условий, влекущих в силу части 3 статьи 291.6 Арбитражного процессуального кодекса Российской Федерации приостановление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«Сбалансированное питание» в приостановлении исполнения решения Арбитражного суда Краснодарского края от 02.07.2019 по делу № А32-10792/2019.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