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07.04.2020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учитывая незначительность пропуска срока, суд признает их уважительными. Поскольку ходатайство о восстановлении пропущенного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«Амурские аптеки» о восстановлении пропущенного срока удовлетворить, пропущенный срок на подачу кассационной жалобы восстановить. Судья Верховного СудаРоссийской Федерации Т.В.Завьялова Суд: Верховный Суд РФ (подробнее) Судьи дела: Завьялова Т.В. (судья) (подробнее) Последние документы по делу: Определение от 3 июня 2020 г. по делу № А04-4154/2019 Определение от 10 апреля 2020 г. по делу № А04-4154/2019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