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«ВИАЛ-ГРУПП» обратилось в суд о правопреемстве кредитора – индивидуального предпринимателя Лобановой Натальи Борисовны на него в связи с заключением договора уступки права (требования) от 29.01.2019 № 32. Определением Арбитражного суда города Москвы от 26.07.2019, оставленным без изменения постановлениями Девятого арбитражного апелляционного суда от 24.10.2019 и Арбитражного суда Московского округа от 17.02.2020,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48 Арбитражного процессуального кодекса Российской Федерации, статьями 382, 384 Гражданского кодекса Российской Федерации, пришли к выводу о действительности договора уступки права (требования), что повлекло правопреемство в материальном правоотношении, и послужило основанием для осуществления процессуальной замены кредитора на его правопреемника.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Медвецкому Алексею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