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«Фабрика упаковки» (далее – общество) обратилось в суд с заявлением о взыскании с арбитражного управляющего Степанова Николая Александровича убытков в размере 22 785 159 рублей. Определением Арбитражного суда города Санкт-Петербурга и Ленинградской области от 16.07.2019, оставленным без изменения постановлениями Тринадцатого арбитражного апелляционного суда от 25.12.2019 и Арбитражного суда Северо-Западного округа от 16.03.2020,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соответствии с правилами главы 7 Арбитражного процессуального кодекса Российской Федерации, руководствуясь статьями 15, 401, 1064 Гражданского кодекса Российской Федерации, статьями 20.3, 20.4, 129, 130 Федерального закона от 26.10.2002 № 127-ФЗ «О несостоятельности (банкротстве)», абзацем третьим пункта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ненадлежащего исполнения Степановым Н.А. обязанностей конкурсного управляющего, выразившегося в необеспечении сохранности имущества должника, не передаче после отстранения имущества и документации должника новому управляющему, причинившем вред имущественным правам кредиторов, в связи с чем признали заявление обоснованным и удовлетворили требование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Союзу арбитражных управляющих «Саморегулируемая организация «Северная столица»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