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10.07.2019, оставленным без изменения постановлением Пятого арбитражного апелляционного суда от 23.10.2019, первоначальный иск удовлетворен частично, с общества в пользу учреждения взыскано 3 362 668 рублей неустойки за просрочку выполнения работ, в удовлетворении остальной части иска отказано; производство по делу по встречному иску в части требований о взыскании 24 349,15 рублей неустойки прекращено в связи с принятием отказа от встречного иска в данной части, в удовлетворении остальной части встречного иска отказано. Постановлением Арбитражного суда Дальневосточного округа от 10.02.2020 указанные судебные акты оставлены без изменения. В кассационной жалобе, поступившей в Верховный Суд Российской Федерации, общество просит отменить названные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жалобы, общество (подрядчик) считает, что его просрочка вызвана неисполнением учреждением (заказчиком) своих обязательств по контракту. Оценив представленные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первоначальный иск в части, признав вину подрядчика в просрочке выполнения этапов работ по контракту, что является основанием для привлечения к гражданско-правовой ответственности в виде уплаты неустойки; в удовлетворении встречного требования отказали, не установив в действиях заказчика нарушений условий контракта по передаче документов, а также строительной площадки. При этом суды указали, что выполнение дополнительного вида работ не препятствовало выполнению основных работ по контракту. Изложенные в жалобе доводы приводились при рассмотрении дела, получили надлежащую правовую оценку судов, отклонены по мотивам, подробно изложенным в соответствующих судебных актах. Несогласие заявителя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ОКУ "Дирекция по реализации программ строительства Сахалинской области" (подробнее) Ответчики: ООО "Остов"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