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Орловской области от 02.09.2019, оставленным без изменения постановлением Девятнадцатого арбитражного апелляционного суда от 11.11.2019, заявленные требования удовлетворены. Постановлением Арбитражного суда Центрального округа от 05.02.2020 указанные судебные акты оставлены без изменения. Фонд просит отменить обжалуемые судебные акты, считая их принятыми с существенным нарушением норм материального права и (или) норм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Трудового кодекса Российской Федерации, Федеральным законом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редакции, действовавшей в спорный период), суды удовлетворили заявленные требования, признав правомерным учет обществом при расчете базы для начисления страховых взносов выплат, произведенных физическим лицам его правопредшественником. При этом суды указали, что базу для начисления страховых взносов следует определять с начала расчетного периода по истечении каждого календарного месяца нарастающим итогом, с учетом законодательно установленной максимальной суммы базы для начисления страховых взносов. Иного порядка определения базы по страховым взносам в случае реорганизации организации - плательщика страховых взносов законом не предусмотрено. Приведенные в жалобе доводы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"ОСПАЗ" (подробнее) Ответчики: ГУ - УПРАВЛЕНИЕ ПЕНСИОННОГО ФОНДА РОССИЙСКОЙ ФЕДЕРАЦИИ В Г. ОРЛЕ И ОРЛОВСКОМ РАЙОНЕ ОРЛОВСКОЙ ОБЛАСТИ МЕЖРАЙОННОЕ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