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Сухарев Алексей Юрьевич обратился в суд с заявлением об утверждении Предложения о порядке, сроках и условиях реализации имущества и Предложения о порядке, сроках и условиях реализации имущества стоимостью менее 100 000 рублей без проведения торгов путём публичного предложения. Банк обратился в суд с жалобой, объединённой с указанным заявлением в одно производство, на действия (бездействие) конкурсного управляющего должником, выразившиеся в воспрепятствовании банку в предоставлении доступа к предмету залога и его осмотру с целью проверки его наличия, состояния, оценки для подготовки Положения по реализации залогового имущества посредством публичного предложения в редакции банка; просило обязать конкурсного управляющего должника Сухарева А.Ю. устранить допущенные нарушения. Определением Арбитражного суда Оренбургской области от 02.09.2019, оставленным без изменения постановлениями Восемнадцатого арбитражного апелляционного суда от 13.11.2019 и Арбитражного суда Уральского округа от 19.02.2020, в удовлетворении жалобы отказано. Утверждено Положение о продаже имущества должника посредством публичного предложения 2 в редакции конкурсного управляющего от 10.07.2019 (по лотам № 325, 326, 328, 364, 369, 376), за исключением пункта 3.2, который изложен в следующей редакции: «Величина снижения начальной цены в каждом периоде составляет 5 (пять) % от начальной цены публичного предложения. Период, по истечении которого последовательно снижается цена предложения, составляет 7 (семь) календарных дней. Размер задатка устанавливается в размере 10% от размера предложения, установленного для определенного периода проведения торгов». Утверждено Положение о порядке, сроках и об условиях продажи имущества общества «Юбилейное» (стоимостью менее 100 000 рублей без проведения торгов; лоты с № 4 по № 361) в редакции конкурсного управляющего.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18.1, 20.3, 60, 110, 111, 129, 138 Федерального закона от 26.10.2002 № 127-ФЗ «О несостоятельности (банкротстве)», абзацем шестым пункта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предложенные конкурсным управляющим варианты положений о продаже имущества должника не противоречат требованиям законодательства о банкротстве, снижают риск необоснованного затягивания сроков реализации имущества и увеличения расходов в деле о банкротстве, направлены на получение наибольшей выручки от реализации, не установив при этом неисполнения или ненадлежащего исполнения возложенных на него обязанностей, нарушения прав и законных интересов банка и иных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3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