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02.09.2020, оставленным без изменения постановлением Девятого арбитражного апелляционного суда от 09.12.2019 и постановлением Арбитражного суда Московского округа от 25.03.2020,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права,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393 Гражданского кодекса Российской Федерации, положениями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установив, что денежные средства на расчетном счете общества являются его собственностью, указанный счет не является специальным, а списание спорных средств произведено не за счет денежных средств, поступивших от участников долевого строительства, а за счет средств, выплаченных истцу иными лицами, пришли к выводу об отсутствии оснований для удовлетворения исковых требований, с чем впоследствии согласился суд округа. При установленных судами фактических обстоятельствах дела доводы кассационной жалобы не свидетельствуют о допущенных ими нарушениях норм права, которые бы служили достаточным основанием в силу части 1 статьи 291.11 Арбитражного процессуального кодекса Российской Федерации к отмене или изменению обжалованных судебных актов.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"КАРА+" (подробнее) Ответчики: ПАО "Сбербанк России"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