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31.05.2019, оставленным без изменений постановлением Тринадцатого арбитражного апелляционного суда от 13.08.2019, оспариваемое постановление изменено в части назначенного наказания, размер штрафа снижен до 300 000 рублей. Постановлением Арбитражного суда Северо-Западного округа от 04.02.2020 указанные судебные акты оставлены без изменения. Общество просит обжалуемые судебные акты отменить, ссылаясь на допущенные, по ее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по результатам внеплановой проверки строительства многоквартирного жилого комплекса со встроенными помещениями и подземной автостоянкой административный орган выявил нарушение обществом, выполняющим функции застройщика, требований безопасности строительства зданий и сооружений, превышение высоты и этажности здания. Частью 2 статьи 9.4 Кодекса Российской Федерации об административных правонарушениях предусмотрена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(изделий), которые повлекли отступление от проектных значений параметров зданий и сооружений, затрагивают конструктивные и другие характеристики надежности и безопасности объектов капитального строительства и (или) их частей или безопасность строительных конструкций, участков сетей инженерно- технического обеспечения, либо которые повлекли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растений, либо которые создали угрозу причинения вреда жизни или здоровью граждан, окружающей среде, жизни или здоровью животных и растений. Оценив представленные доказательства, руководствуясь положениями Федерального закона от 30.12.2009 № 384-ФЗ «Технический регламент о безопасности зданий и сооружений», Градостроительного кодекса Российской Федерации, суды пришли к выводу о наличии в действиях общества состава административного правонарушения, ответственность за которое предусмотрена частью 2 статьи 9.4 Кодекса Российской Федерации об административных правонарушениях. Вина общества состоит в том, что им не были приняты все необходимые и достаточные меры для надлежащего исполнения возложенных на него обязанностей по соблюдению обязательных требований в области строительства. Доводы заявителя о нарушении подведомственности не основаны на законе.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"П1"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