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ходатайством об исключении из конкурсной массы жилого помещения – квартиры, расположенной по адресу: &lt;...&gt;, площадью 88,3 кв. м, как единственного пригодного для постоянного проживания помещения гражданина – должника и членов его семьи. Определением Арбитражного суда Самарской области от 14.09.2018, оставленным без изменения постановлениями Одиннадцатого арбитражного апелляционного суда от 12.11.2018 и Арбитражного суда Поволжского округа от 21.02.2019, ходатайство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ходатайство должника,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446 Гражданского кодекса Российской Федерации, статьями 34, 45 Семейного кодекса Российской Федерации, статьями 213.1, 213.24, 213.25 Федерального закона от 26.10.2002 № 127-ФЗ «О несостоятельности (банкротстве)», исходил из того, что данная квартира не обременена залогом, является единственным пригодным жилым помещением для постоянного проживания должника и членов его семьи, обладает исполнительским иммунитетом и не может быть включена в конкурсную массу.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«Флаитекс»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"Флаитекс" (подробнее) Судьи дела: Корнелюк Е.С. (судья) (подробнее) Последние документы по делу: Определение от 2 июня 2020 г. по делу № А55-25576/2017 Определение от 13 июня 2019 г. по делу № А55-25576/2017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