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19.06.2019, оставленным без изменения постановлением Второго арбитражного апелляционного суда от 23.09.2019, в удовлетворении иска отказано. Арбитражный суд Волго-Вятского округа постановлением от 17.01.2020 решение от 19.06.2019 и постановление Второго арбитражного апелляционного суда от 23.09.2019 оставил без изменения. В кассационной жалобе общество «СтройПроектСервис» просит об отмене судебных актов, ссылаясь на неприменение норм права об оказании услуг в отношении погрузочно-разгрузочных работ, при которых поврежден груз.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Оснований для исключения погрузочно-разгрузочных работ из перевозочного процесса, оформленного договором-заявкой на разовую доставку груза от 15.03.2018 № 13 В-М, и применения к ним норм права об оказании услуг не имеется. Суды установили, что повреждение груза произошло вследствие его неправильной упаковки, за которую ответчик не отвечает, поэтому в иске к нему отказано в силу статьи 796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«СтройПроектСервис»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"СтройПроектСервис" (подробнее) Ответчики: ООО КомиГрузТранс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