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23.08.2019 и постановление Девятого арбитражного апелляционного суда от 05.11.2019 по делу № А40-71527/2018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