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Ражев Дмитрий Анатольевич обратился в суд с заявлением о признании недействительными сделок должника с обществом с ограниченной ответственностью «АЙКОН», а именно: договоров соинвестирования от 07.06.2012 № 0706/12СФН/ПЛК, 0706/12СФН/ПЛК-1 и 0706/12СФН/ПЛК-2; действий общества «АЙКОН» по передаче эмитированных закрытым акционерным обществом «М-ИНДУСТРИЯ» векселей от 28.06.2012 – серии МИ-12 № 17 номинальной стоимостью 118 713 рублей (оформлено актом приема-передачи векселя от 28.06.2012 № 1), серии МИ-12 № 16 номинальной стоимостью 500 540 рублей (оформлено актом приема-передачи векселя от 28.06.2012 № 2), серии МИ-12 № 11 номинальной стоимостью 4 240 000 рублей и серии МИ-12 № 15 номинальной стоимостью 32 372 626,85 руб. (оформлено актом приема-передачи векселя от 28.06.2012 № 3). Кроме того, заявитель просил признать недействительными заключенные должником и Саияном Давидом Зинаваровичем соглашения от 27.11.2014 о расторжении указанных договоров соинвестирования от 07.06.2012; применить последствия недействительности сделок. 2 Определением Арбитражного суда города Санкт-Петербурга и Ленинградской области от 08.05.2019, оставленным без изменения постановлениями Тринадцатого арбитражного апелляционного суда от 22.08.2019 и Арбитражного суда Северо-Западного округа от 03.02.2020, в удовлетворении заявления отказано.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обособленный спор, суды, руководствуясь статьями 16, 61.2 Федерального закона от 26.10.2002 № 127-ФЗ «О несостоятельности (банкротстве)», пунктами 5, 9 постановления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исходили из отсутствия совокупности условий для признания недействительными оспариваемых сделок ввиду реальности возникших по ним обязательств, недоказанности совершения последних со злоупотреблением правом и направленности на причинение вреда кредиторам. При этом конкурсный управляющий не ссылался, а также отсутствуют доказательства наличия у оспариваемых сделок пороков, выходящих за пределы дефектов сделок с предпочтением или подозрительных сделок, и как следствие оснований для применения положений статей 10 и 168 Гражданского кодекса Российской Федерации.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Приводимые в жалобе доводы являлись предметом изучения судебных инстанций, получили надлежащую правовую оценку, признаны необоснованными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3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«Партнер»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