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16.07.2019, оставленным без изменения постановлением Девятого арбитражного апелляционного суда от 22.10.2019, в удовлетворении иска отказано. Арбитражный суд Московского округа постановлением от 13.02.2020 решение от 16.07.2019 и постановление Девятого арбитражного апелляционного суда от 22.10.2019 оставил без изменения. В кассационной жалобе институт просит об отмене судебных актов вследствие неправильного толкования условий договора лизинга и нарушения в применении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возложили на институт последствия выбора продавца предмета лизинга, вследствие ненадлежащего исполнения которым обязательства договор лизинга прекращен, на основании статей 665 , 670 Гражданского кодекса Российской Федерации, статьи 22 Федерального закона от 29.10.1998 № 164-ФЗ «О финансовой аренде (лизинге)» и пункта 5 постановления Пленума Высшего Арбитражного Суда Российской Федерации от 14.03.2014 № 17 «Об отдельных вопросах, связанных с договором выкупного лизинга». Отказ во взыскании спорной суммы, составляющей расходы ответчика в связи с исполнением договора лизинга до его прекращения, соответствует судьбе этой суммы, определенной в иске о ней третейским судом.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«Научно-исследовательский и проектно-конструкторский институт энергетических технологий «Атомпроект»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"Научно-исследовательский и проектно-конструкторский институт энергетических технологий "Атомпроект" (подробнее) Ответчики: АО "Тенекс-Сервис"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