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14.06.2019 в удовлетворении иска отказано. Девятый арбитражный апелляционный суд постановлением от 30.09.2019 отменил решение от 14.06.2019 и удовлетворил исковые требования в заявленном объеме. Арбитражный суд Московского округа постановлением от 20.01.2020 постановление Девятого арбитражного апелляционного суда от 30.09.2019 оставил без изменения. 2 В кассационной жалобе банк просит об отмене судебных актов апелляционного и окружного судов, ссылаясь на злоупотребление правом при предъявлении бенефициаром требования по банковской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Получение надлежащего исполнения по основному обязательству опровергается установленными судами обстоятельствами представления требования о платеже по гарантии, подтверждающими отсутствие у банка оснований для отказа в платеже.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