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31.07.2019, оставленным без изменения постановлением Седьмого арбитражного апелляционного суда от 22.10.2019 , в удовлетворении заявленного требования отказано. Постановлением Арбитражного суда Западно-Сибирского округа от 07.02.2019 указанные судебные акты оставлены без изменения. Общество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жалобе, дополнении к ней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в удовлетворении требования и признавая обоснованными выводы налогового органа в обжалуемой части, суды руководствовались положениями статей 169 , 171 , 172 , 252 Налогового кодекса Российской Федерации, а также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и исходили из того, что налоговым органом представлены доказательства, свидетельствующие о недостоверности сведений в представленных документах и отсутствии реальных хозяйственных операций с заявленными контрагентами, направленности действий налогоплательщика на получение необоснованной налоговой выгоды, и умышленном характере совершенных действий; также суда указали, что внесение исправлений в оспариваемое решение не повлекло увеличения размера доначислений и не свидетельствует о нарушении прав и законных интересов общества.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"Союз" (подробнее) Ответчики: МИФНС по крупнейшим налогоплательщикам по Мурманской области (подробнее) Иные лица: МИФНС России №15 по Алтайскому краю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