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14.06.2019, оставленным без изменения постановлением Восемнадцатого арбитражного апелляционного суда от 26.09.2019, иск удовлетворен. Арбитражный суд Уральского округа постановлением от 04.02.2020 решение от 14.06.2019 и постановление Восемнадцатого арбитражного апелляционного суда от 26.09.2019 оставил без изменения. В кассационной жалобе общество «ВСК» просит об отмене судебных актов, ссылаясь на несоответствующее закону и договору взыскание утраченной товарной стоимости.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Утраченная товарная стоимость в силу судебного толкования норм права о страховании является составляющей убытков в застрахованном имуществе, кроме случаев согласованного сторонами исключения ее из таковых. Исследовав перечень не покрываемых договором (полисом) страхования от 22.02.2018 № 18004V8005608 страховых рисков, суды установили отсутствие в нем утраченной товарной стоимости, поэтому обязали страховщика ее возместить.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Ленинг Виталий Александрович (подробнее) Ответчики: АО Страховое "ВСК" (подробнее) САО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