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05.08.2019, оставленным без изменения постановлением Девятого арбитражного апелляционного суда от 21.10.2019, иск удовлетворен. Арбитражный суд Московского округа постановлением от 15.01.2020 решение от 05.08.2019 и постановление Девятого арбитражного апелляционного суда от 21.10.2019 оставил без изменения. В кассационной жалобе банк просит об отмене судебных актов, ссылаясь на представление требования по гарантии за пределами срока ее действия.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кассационной жалобы не усматривается. Толкование банком понятия «представление» как получение требования до истечения срока действия гарантии от 04.10.2017 № БГ-148271/2017 признано судами не основанным на содержании гарантии. В такой ситуации установленное направление требования о платеже в последний день срока действия гарантии соответствует ее условиям и статье 194 Гражданского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«Акционерный коммерческий банк «Держава»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Министерство труда и социальной защиты Тульской области (подробнее) Ответчики: ПАО "АКЦИОНЕРНЫЙ КОММЕРЧЕСКИЙ БАНК "ДЕРЖАВА" 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