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28.08.2019, оставленным без изменения постановлением Восемнадцатого арбитражного апелляционного суда от 07.11.2019, исковые требования удовлетворены. Арбитражный суд Уральского округа постановлением от 20.02.2020 решение от 28.08.2019 и постановление Восемнадцатого арбитражного апелляционного суда от 07.11.2019 оставил без изменения. В кассационной жалобе общество просит о пересмотре судебных актов, ссылаясь на отсутствие надлежащих доказательств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«КонЭкТ»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ООО "Конэкт" (подробнее) Иные лица: Межрайонный специализированный отдел судебных приставов г.Челябинска по исполнению актов судов и иных органов в отношении должников-юридических лиц Управления Федеральной службы судебных приставов по Челябинской области (подробнее) Управление Федеральной Службы Судебных Приставов России по Челябинской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