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20.06.2019, оставленным без изменения постановлением Тринадцатого арбитражного апелляционного суда от 02.10.2019, в иске отказано. Постановлением Арбитражного суда Северо-Западного округа от 13.02.2020 указанные судебные акты оставлены без изменения. В кассационной жалобе, поступившей в Верховный Суд Российской Федерации, истец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истец (заказчик по государственному контракту на выполнение подрядных строительных работ) ссылается на несоответствие объемов фактически выполненных ответчиком (подрядчиком) работ оплаченным объемам, указанным в актах КС-2 и справках КС-3. Оценив представленные доказательства, руководствуясь положениями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отказали в иске, признав не доказанным возникновение на стороне ответчика неосновательного обогащения. При этом суды исходили из того, что спорные работы приняты без претензий по объему и качеству и оплачены, надлежащих доказательств наличия перечисленных истцом недостатков выполненных работ не представлено. Изложенные в жалобах доводы приводились при рассмотрении дела, получили надлежащую правовую оценку судов, отклонены по мотивам, подробно изложенным в соответствующих судебных актах.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ИСПОЛНЕНИЯ НАКАЗАНИЙ ПО Г. Санкт-ПетербургУ И ЛЕНИНГРАДСКОЙ ОБЛАСТИ (подробнее) Ответчики: АО "Генеральная строительная Корпорация"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