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29.05.2019, оставленным без изменения постановлением Пятого арбитражного апелляционного суда от 25.09.2019, иск удовлетворен. Арбитражный суд Дальневосточного округа постановлением от 31.01.2020 решение от 29.05.2019 и постановление Пятого арбитражного апелляционного суда от 25.09.2019 оставил без изменения. В кассационной жалобе компания просит об отмене судебных актов, ссылаясь на неустановление влияющих на степень страхового риска характера правоотношений между страхователем и управлявшим транспортным средством лицом и наличия у последнего допуска к управлению транспортным средством.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компании о нарушении страхователем условий договора лизинга в качестве обстоятельств, влияющих на страховой риск и обязанность по выплате страхового возмещения, ошибочны. При взыскании страхового возмещения обстоятельства возникновения убытков подлежат проверке на соответствие условиям страхования, что и сделано судами, установившими наступление страхового случая, отвечающего критериям, согласованным в договоре страхования средств автотранспорта от 06.10.2014 № 144400-803-000148, отсутствие оснований для освобождения компании от выплаты страхового возмещения и удовлетворившими иск в соответствии с договором и статьями 929 , 942 , 943 , 960 , 964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акционерная компания «Энергогарант»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"Ангара Ресурс" (подробнее) ООО "Виктория" (подробнее) Ответчики: ПАО "Страховая акционерная компания "ЭНЕРГОГАРАНТ" (подробнее) Иные лица: Арбитражный суд Дальневосточного округа (подробнее) ГУ Управление ГИБДД МВД России по Иркутской области (подробнее) ИФНС №5 по г.Москве (подробнее) ООО "Импульс" (подробнее) ООО "Сириус" (подробнее) ООО "Техно-Телеком" (подробнее) Подразделение ГИБДД межмуниципального отдела МВД России "Бахайский" (дислокация п.Усть-Уда) (подробнее) Подразделение ГИБДД межмуниципального отдела МВД России "Бохайский"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