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13.09.2019, оставленным без изменения постановлением Шестого арбитражного апелляционного суда от 20.12.2019, общество привлечено к административной ответственности, предусмотренной частью 2 статьи 14.17 Кодекса Российской Федерации об административных правонарушениях, и ему назначено наказание в виде административного штрафа в размере 100 000 рублей. Постановлением Арбитражного суда Дальневосточного округа от 11.03.2020 указанные судебные акты оставлены без изменения. Общество просит отменить обжалуемые судебные акты, считая их принятыми с существенным нарушением норм материального и процессуального права. При изучении доводов жалобы и приложенных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составления протокола и обращения в арбитражный суд с соответствующим заявлением послужил выявленный административным органом факт поставки обществом алкогольной продукции в адрес организации, не имеющей соответствующей лицензии. Частью 2 статьи 14.17 Кодекса Российской Федерации об административных правонарушениях установлена административная ответственность за производство или оборот этилового спирта, алкогольной и спиртосодержащей продукции с грубым нарушением лицензионных требований, предусмотренных законодательством 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продукции. Согласно примечанию к статье 14.17 Кодекса Российской Федерации об административных правонарушениях под грубым нарушением лицензионных требований, предусмотренных законодательством 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продукции, при производстве или обороте этилового спирта, алкогольной и спиртосодержащей продукции в части 2 настоящей статьи понимаются, в том числе, поставка алкогольной и (или) спиртосодержащей пищевой продукции организации, не имеющей соответствующей лицензии или имеющей лицензию, действие которой приостановлено. Оценив представленные доказательства, руководствуясь положениями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суды пришли к выводу о наличии в действиях общества состава правонарушения, ответственность за совершение которого предусмотрена частью 2 статьи 14.17 Кодекса Российской Федерации об административных правонарушениях. Нарушений процедуры проведения проверки и привлечения к административной ответственности суды не установили. Срок давности привлечения к ответственности соблюден, административное наказание в виде штрафа назначено ниже низшего предела санкции нормы. Доводы жалобы сводятся к несогласию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является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Истцы: МРУ Росалкогольрегулирования Дальневосточному федеральному округу (подробнее) Ответчики: ООО "Торговый союз"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