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23.08.2019 и постановление Девятого арбитражного апелляционного суда от 31.10.2019 по делу № А40-71527/2018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