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25.09.2019, оставленным без изменения постановлением Девятого арбитражного апелляционного суда от 25.11.2019 и постановлением Арбитражного суда Московского округа от 02.03.2020,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спорного договора, а также обстоятельства его исполнения сторонами, руководствуясь статьями 309 , 310 , 395 , 702 , 717 , 720 Гражданского кодекса Российской Федерации, пришли к выводу о наличии оснований для удовлетворения исковых требований. В частности, суды исходили из доказанности факта ненадлежащего исполнения ответчиком обязательств по оплате выполненных истцом работ и компенсации понесенных последним расходов.С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установленных судами обстоятельств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«ДАНАФЛЕКС-НАНО»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"ТИМИДЕЯ ГРУПП" (подробнее) Ответчики: ООО "Данафлекс-Нано"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