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(далее – ФИО2) обратился в Арбитражный суд Чувашской Республики - Чувашии с иском к обществу с ограниченной ответственностью «Строительная компания «Стройсфера» (далее – общество) и обществу с ограниченной ответственностью «Железобетонные конструкции № 9» (далее – компания) о признании недействительным договора уступки права требования от 20.02.2017 и применении последствий недействительности сделки в виде прекращения записи в Едином государственном реестре прав о регистрации указанного договора и возложении на компанию обязанности вернуть, а на общество – принять оригиналы документов на квартиру, переданных по договору. Решением Арбитражного суда Чувашской Республики – Чувашии от 05.06.2019 в удовлетворении исковых требований отказано. ФИО2 обратился в Первый арбитражный апелляционный суд с апелляционной жалобой на указанное решение суда. В суд апелляционной инстанции поступило заявление ФИО2 и ФИО1 о замене в порядке процессуального правопреемства Ханеданяна М.А., вышедшего из состава участников общества, на его правопреемника – нового участника общества ФИО1 Определением Первого арбитражного апелляционного суда от 21.10.2019, оставленным без изменения постановлением Арбитражного суда Волго-Вятского округа от 03.03.2020, в удовлетворении заявления отказано. В кассационной жалобе, поданной в Верховный Суд Российской Федерации, ФИО1, ссылаясь на нарушение судами норм права, просит отменить указанные судебные акты и направить дело на новое рассмотрение в Первый арбитражный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доводов кассационной жалобы и содержания обжалуемых судебных актов не установлено. Отказывая в удовлетворении заявления, суд апелляционной инстанции руководствовался положениями статьи 48 Арбитражного процессуального кодекса Российской Федерации и исходил из отсутствия правовых оснований для осуществления процессуального правопреемства. Суд округа согласился с выводами апелляционного суда, отклонив доводы заявителя как основанные на неверном толковании норм права. Доводы кассационной жалобы не опровергают выводы судов, не подтверждают существенных нарушений норм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"Железобетонные конструкции №9" (подробнее) ООО "Строительная компания "Стройсфера" (подробнее) Иные лица: Управление Федеральной службы государственной регистрации, кадастра и картография по Чувашской Республике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