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предоставлении отсрочки уплаты государственной пошлины при ее подаче.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2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Поскольку в данном случае такие основания имеются, суд приходит к выводу о предоставлении заявителю отсрочки уплаты госпошлины. Руководствуясь статьями 102, 117, 184 и 291.2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«АРТ-ЛАКШЕРИ»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города Москвы от 20.09.2019, постановление Девятого арбитражного апелляционного суда от 25.11.2019 и постановление Арбитражного суда Московского округа от 11.03.2020 по делу № А40-172375/2019. Предоставить обществу с ограниченной ответственностью «АРТ-ЛАКШЕРИ» отсрочку уплаты государственной пошлины до окончания производства по рассмотрению кассационной жалобы.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