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недействительными сделками договора купли- продажи от 09.12.2014, заключенного между обществом ограниченной ответственностью «Комфорт ЛТД» и должником, а также платежей должника в пользу названного общества, совершенных в период с 23.09.2015 по 06.09.2016 на общую сумму 2 086 220 рублей; применении последствий недействительности сделок. Определением Арбитражного суда Московской области от 15.07.2019, оставленным без изменения постановлениями Десятого арбитражного апелляционного суда от 12.11.2019 и Арбитражного суда Московского округа от 04.02.2020,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19, 61.1, 61.2, 61.6 Федерального закона от 26.10.2002 № 127-ФЗ «О несостоятельности (банкротстве)», пунктами 4, 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отсутствия совокупности условий для признания недействительными оспариваемых сделок заинтересованных лиц, раскрывших разумные экономические мотивы возникших между ними правоотношений, а также представивших доказательства их совершения и исполнения. Суды указали на недоказанность наличия у сделок пороков, выходящих за пределы дефектов сделок с предпочтением или подозрительных сделок, как следствие, оснований для применения положений статей 10 и 168 Гражданского кодекса Российской Федерации.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«Богучанский Алюминиевый Завод»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