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11.12.2019 производство по делу прекращено. Общество обратилось в Одиннадцатый арбитражный апелляционный суд с апелляционной жалобой на указанное определение суда, заявив ходатайство о восстановлении пропущенного процессуального срока. Одиннадцатый арбитражный апелляционный суд определением от 05.02.2020 возвратил апелляционную жалобу общества на основании пункта 3 части 1 статьи 264 Арбитражного процессуального кодекса Российской Федерации в связи с пропуском срока подачи жалобы и отказом в удовлетворении ходатайства о его восстановлении. Постановлением Арбитражного суда Поволжского округа от 18.03.2020 определение апелляционного суда оставлено без изменения.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апелляционную жалобу, суд апелляционной инстанции руководствовался статьями 9 , 117 , 188 , 259 , 264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приведенные заявителем причины пропуска срока не являются уважительными.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«Агромир»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"Агромир", г.Казань (подробнее) Ответчики: ООО "Лизинговая компания малого бизнеса Республики Татарстан", г.Казань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