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Челябинской области с иском о взыскании с общества с ограниченной ответственностью «Софтранс» 202 978 рублей 60 копеек убытков в связи с утратой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«Подъем», ФИО2, индивидуальный предприниматель ФИО3, общество с ограниченной ответственностью «ГруппСТ», общество с ограниченной ответственностью «Юбилейное». Решением Арбитражного суда Челябинской области от 01.07.2019 иск удовлетворен в части взыскания 180 904 рублей 60 копеек, в удовлетворении иска в остальной части отказано. Постановлением Восемнадцатого арбитражного апелляционного суда от 26.09.2019 решение суда первой инстанции оставлено без изменения. Арбитражный суд Уральского округа постановлением от 14.02.2020 указанные судебные акты оставил без изменения. Общество с ограниченной ответственностью «Софтранс»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отзыве на кассационную жалобу индивидуальный предприниматель ФИО1 считает принятые по делу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причинения истцу ущерба, вызванного утратой груза в процессе перевозки, и отсутствие оснований для освобождения ответчика от ответственности за его утрату, руководствуясь положениями статей 15 , 393 , 785 , 796 Гражданского кодекса Российской Федерации, суды признали иск обоснованным, предъявленным в пределах срока исковой давности. Размер подлежащих возмещению убытков определен судами с учетом разъяснений, содержащихся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исходя из стоимости утраченного груза и суммы штрафа за просрочку доставки утраченного груза, определенного по условиям мирового соглашения между ИП ФИО1 и ООО «Подъем» в рамках дела № А76-24992/2017.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«Софтранс»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"Софтранс"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