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Черноокая Е.В. обратилась в суд с заявлением о разрешении разногласий, возникших между ним и кредиторами в части возможности обращения взыскания на ½ долю квартиры, в которой в настоящее время проживает должник, находящейся по адресу г. Москва, район Очаково-Матвеевское, ул. Нежинская, д. 1, корп. 2, кв. 96. Определением Арбитражного суда города Москвы от 15.08.2019, оставленным без изменения постановлениями Девятого арбитражного апелляционного суда от 10.10.2019 и Арбитражного суда Московского округа от 28.01.20120, разногласия разрешены; в исключении ½ доли квартиры из конкурсной массы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исключении доли в квартире из конкурсной массы.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разногласия, суд первой инстанции, применительно к положениям части 3 статьи 69 Арбитражного процессуального кодекса Российской Федерации, указал, что вступившим в законную силу судебным актом заявителю отказано в праве считать спорную квартиру единственным пригодным для проживания жилым помещением, что указывало на правомерность нахождения последней в конкурсной массе.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"ОСК" (подробнее) ИФНС России №29 по г. Москве (подробнее) ООО "ВИП ИТ Сервис" (подробнее) Иные лица: АО ОСК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