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04.07.2019, оставленным без изменения постановлением Седьмого арбитражного апелляционного суда от 01.10.2019, заявленные требования удовлетворены частично, признано недействительным решение в части привлечения к налоговой ответственности, предусмотренной статьей 122 Налогового кодекса российской Федерации, в виде штрафа по налогу на имущество в размере 26 942,50 рублей, в остальной части в удовлетворении заявленных требований отказано. Постановлением Арбитражного суда Западно-Сибирского округа от 31.01.2020 указанные судебные акты оставлены без изменения. Общество просит отменить принятые по делу судебные акты в части доначисления налога на прибыль организаций за 2015 год в размере 5 684 601 рубля, начисления соответствующих сумм пени по налогу на прибыль в размере 1 379 085,80 рублей и штрафа по налогу на прибыль в размере 568 460,10 рублей, обязания внести исправления при исчислении налоговой базы по налогу на прибыль по завышению убытков при исчислении налоговой базы по налогу на прибыль организаций за 2014 год в размере 16 614 566 рублей, завышению налоговой базы по налогу на прибыль организаций за 2016 год на сумму 28 203 359 рублей.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налоговый орган пришел к выводу о завышении налогоплательщиком расходов и убытка в спорном периоде в результате неверного отнесения затрат организации к косвенным расходам. Признавая обоснованными выводы налогового органа в обжалуемой части, суды руководствовались положениями статей 254 , 272 , 318 Налогового кодекса Российской Федерации, правовой позицией, изложенной в определении Конституционного Суда Российской Федерации от 25.04.2019 № 876-О, и исходили из установленных обстоятельств, свидетельствующих о том, что спорные расходы налогоплательщика относятся к прямым расходам. При этом суды исходили из того, что налогоплательщик должен обосновать выбор в отношении расходов, формирующих в налоговом учете стоимость произведенной и реализованной продукции, притом что механизм распределения затрат на производство и реализацию должен содержать экономически обоснованные показатели, обусловленные технологическим процессом. Приведенные в жалобе доводы были предметом исследования судов и получили исчерпывающую правовую оценку с учетом отраслевых особенностей деятельности налогоплательщика и представленных сторонами доказательств,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Разрез "Шестаки" (подробнее) Ответчики: межрайонная инспекция Федеральной налоговой службы по крупнейшим налогоплательщикам №9 по Кемеровской области (подробнее) Иные лица: межрайонная инспекция Федеральной налоговой службы по крупнейшим налогоплательщикам №1 по Кемеровской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