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17.06.2019 в удовлетворении требований отказано. Постановлением Девятнадцатого арбитражного апелляционного суда от 16.10.2019 решение суда первой инстанции отменено в части отказа в удовлетворении требований о взыскании задолженности за поставленный товар в размере 2 177 240 рублей, неустойки в размере 160 456,68 рублей, с последующим начислением неустойки в размере 1/300 ставки рефинансирования Банка России от суммы основного долга по день фактической уплаты долга, в указанной части требования удовлетворены. Постановлением Арбитражного суда Центрального округа от 04.02.2020 постановление суда апелляционной инстанции оставлено без изменения. Учреждение просит отменить обжалуемые судебные акты, считая их принятыми с существенным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обстоятельств в жалобе не приведено. Отменяя решение суда первой инстанции и удовлетворяя требования в обжалуемой части, суд апелляционной инстанции руководствовался положениями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и исходил из установленных обстоятельств, свидетельствующих о том, что факт поставки товара в адрес покупателя подтвержден документально, оплата товара произведена не в полном объеме. Изложенные в жалобе доводы о несоответствии товара по количеству и качеству приводились при рассмотрении дела, получили исчерпывающую правовую оценку судов апелляционной и кассационной инстанций, и отклонены по мотивам, подробно изложенным в соответствующих судебных актах.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"Торговый дом Гермес" (подробнее) Ответчики: МУНИЦИПАЛЬНОЕ БЮДЖЕТНОЕ ОБЩЕОБРАЗОВАТЕЛЬНОЕ УЧРЕЖДЕНИЕ "ЦЕНТР ОБРАЗОВАНИЯ №6 "ПЕРСПЕКТИВА" Г. БЕЛГОРОДА (подробнее) Иные лица: АДМИНИСТРАЦИЯ Г. БЕЛГОРОДА (подробнее) Управление образования администрации г.Белгорода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