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«ЭлитСтрой» (далее – общество) обратилось в суд с заявлением о включении в реестр требований кредиторов должника в размере 5 673 771 рублей 97 копеек. Определением Арбитражного суда Самарской области от 12.07.2019, оставленным без изменения постановлениями Одиннадцатого арбитражного апелляционного суда от 15.10.2019 и Арбитражного суда Поволжского округа от 29.01.2020,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702, 706, 740, 743 Гражданского кодекса Российской Федерации,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неисполнения должником обязательств по оплате выполненных субподрядчиком работ, принятых без замечаний, в связи с чем пришли к выводам о наличии оснований для включения требования в реестр.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«ВолгаАвтоДор» Коробкову Дмитрию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